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744" w:tblpY="1319"/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2"/>
        <w:gridCol w:w="1522"/>
        <w:gridCol w:w="1536"/>
        <w:gridCol w:w="1536"/>
        <w:gridCol w:w="1536"/>
        <w:gridCol w:w="1536"/>
        <w:gridCol w:w="1536"/>
        <w:gridCol w:w="1479"/>
        <w:gridCol w:w="1516"/>
        <w:gridCol w:w="1412"/>
      </w:tblGrid>
      <w:tr w:rsidR="00000000">
        <w:trPr>
          <w:trHeight w:val="974"/>
        </w:trPr>
        <w:tc>
          <w:tcPr>
            <w:tcW w:w="1272" w:type="dxa"/>
          </w:tcPr>
          <w:p w:rsidR="00000000" w:rsidRDefault="00C24C15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522" w:type="dxa"/>
          </w:tcPr>
          <w:p w:rsidR="00000000" w:rsidRDefault="00C24C15">
            <w:pPr>
              <w:rPr>
                <w:b/>
              </w:rPr>
            </w:pPr>
            <w:r>
              <w:rPr>
                <w:b/>
              </w:rPr>
              <w:t>Cyclone lat/lon</w:t>
            </w:r>
          </w:p>
        </w:tc>
        <w:tc>
          <w:tcPr>
            <w:tcW w:w="1536" w:type="dxa"/>
          </w:tcPr>
          <w:p w:rsidR="00000000" w:rsidRDefault="00C24C15">
            <w:pPr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vertAlign w:val="subscript"/>
              </w:rPr>
              <w:t>1000</w:t>
            </w:r>
            <w:r>
              <w:rPr>
                <w:b/>
              </w:rPr>
              <w:t xml:space="preserve"> at cyclone center</w:t>
            </w:r>
          </w:p>
        </w:tc>
        <w:tc>
          <w:tcPr>
            <w:tcW w:w="1536" w:type="dxa"/>
          </w:tcPr>
          <w:p w:rsidR="00000000" w:rsidRDefault="00C24C15">
            <w:pPr>
              <w:rPr>
                <w:b/>
              </w:rPr>
            </w:pPr>
            <w:r>
              <w:rPr>
                <w:b/>
              </w:rPr>
              <w:t>GRV at cyclone center</w:t>
            </w:r>
          </w:p>
        </w:tc>
        <w:tc>
          <w:tcPr>
            <w:tcW w:w="1536" w:type="dxa"/>
          </w:tcPr>
          <w:p w:rsidR="00000000" w:rsidRDefault="00C24C15">
            <w:pPr>
              <w:rPr>
                <w:b/>
              </w:rPr>
            </w:pPr>
            <w:r>
              <w:rPr>
                <w:b/>
              </w:rPr>
              <w:t>GAVA</w:t>
            </w:r>
          </w:p>
        </w:tc>
        <w:tc>
          <w:tcPr>
            <w:tcW w:w="1536" w:type="dxa"/>
          </w:tcPr>
          <w:p w:rsidR="00000000" w:rsidRDefault="00C24C15">
            <w:pPr>
              <w:rPr>
                <w:b/>
              </w:rPr>
            </w:pPr>
            <w:r>
              <w:rPr>
                <w:b/>
              </w:rPr>
              <w:t>nearly LTHAD</w:t>
            </w:r>
          </w:p>
        </w:tc>
        <w:tc>
          <w:tcPr>
            <w:tcW w:w="1536" w:type="dxa"/>
          </w:tcPr>
          <w:p w:rsidR="00000000" w:rsidRDefault="00C24C15">
            <w:pPr>
              <w:rPr>
                <w:b/>
              </w:rPr>
            </w:pPr>
            <w:r>
              <w:rPr>
                <w:b/>
              </w:rPr>
              <w:t>LTHAD</w:t>
            </w:r>
          </w:p>
        </w:tc>
        <w:tc>
          <w:tcPr>
            <w:tcW w:w="1479" w:type="dxa"/>
          </w:tcPr>
          <w:p w:rsidR="00000000" w:rsidRDefault="00C24C15">
            <w:pPr>
              <w:rPr>
                <w:b/>
              </w:rPr>
            </w:pPr>
            <w:r>
              <w:rPr>
                <w:b/>
              </w:rPr>
              <w:t>LAD*</w:t>
            </w:r>
          </w:p>
        </w:tc>
        <w:tc>
          <w:tcPr>
            <w:tcW w:w="1516" w:type="dxa"/>
          </w:tcPr>
          <w:p w:rsidR="00000000" w:rsidRDefault="00C24C15">
            <w:pPr>
              <w:rPr>
                <w:b/>
              </w:rPr>
            </w:pPr>
            <w:r>
              <w:rPr>
                <w:b/>
              </w:rPr>
              <w:t>LDIA*</w:t>
            </w:r>
          </w:p>
        </w:tc>
        <w:tc>
          <w:tcPr>
            <w:tcW w:w="1412" w:type="dxa"/>
          </w:tcPr>
          <w:p w:rsidR="00000000" w:rsidRDefault="00C24C15">
            <w:pPr>
              <w:rPr>
                <w:b/>
              </w:rPr>
            </w:pPr>
            <w:r>
              <w:rPr>
                <w:b/>
              </w:rPr>
              <w:t>GRVT</w:t>
            </w:r>
          </w:p>
        </w:tc>
      </w:tr>
      <w:tr w:rsidR="00000000">
        <w:trPr>
          <w:trHeight w:val="487"/>
        </w:trPr>
        <w:tc>
          <w:tcPr>
            <w:tcW w:w="1272" w:type="dxa"/>
          </w:tcPr>
          <w:p w:rsidR="00000000" w:rsidRDefault="00C24C15">
            <w:pPr>
              <w:rPr>
                <w:b/>
              </w:rPr>
            </w:pPr>
            <w:r>
              <w:t>t</w:t>
            </w:r>
            <w:r>
              <w:rPr>
                <w:vertAlign w:val="subscript"/>
              </w:rPr>
              <w:t xml:space="preserve">0 </w:t>
            </w:r>
            <w:r>
              <w:t>[P0]</w:t>
            </w:r>
          </w:p>
        </w:tc>
        <w:tc>
          <w:tcPr>
            <w:tcW w:w="1522" w:type="dxa"/>
          </w:tcPr>
          <w:p w:rsidR="00000000" w:rsidRDefault="00C24C15"/>
        </w:tc>
        <w:tc>
          <w:tcPr>
            <w:tcW w:w="1536" w:type="dxa"/>
          </w:tcPr>
          <w:p w:rsidR="00000000" w:rsidRDefault="00C24C15"/>
        </w:tc>
        <w:tc>
          <w:tcPr>
            <w:tcW w:w="1536" w:type="dxa"/>
          </w:tcPr>
          <w:p w:rsidR="00000000" w:rsidRDefault="00C24C15"/>
        </w:tc>
        <w:tc>
          <w:tcPr>
            <w:tcW w:w="1536" w:type="dxa"/>
          </w:tcPr>
          <w:p w:rsidR="00000000" w:rsidRDefault="00C24C15">
            <w:pPr>
              <w:jc w:val="center"/>
              <w:rPr>
                <w:rFonts w:ascii="Symbol" w:hAnsi="Symbol"/>
              </w:rPr>
            </w:pPr>
          </w:p>
        </w:tc>
        <w:tc>
          <w:tcPr>
            <w:tcW w:w="1536" w:type="dxa"/>
          </w:tcPr>
          <w:p w:rsidR="00000000" w:rsidRDefault="00C24C15">
            <w:pPr>
              <w:jc w:val="center"/>
              <w:rPr>
                <w:rFonts w:ascii="Symbol" w:hAnsi="Symbol"/>
              </w:rPr>
            </w:pPr>
          </w:p>
        </w:tc>
        <w:tc>
          <w:tcPr>
            <w:tcW w:w="1536" w:type="dxa"/>
          </w:tcPr>
          <w:p w:rsidR="00000000" w:rsidRDefault="00C24C15">
            <w:pPr>
              <w:jc w:val="center"/>
              <w:rPr>
                <w:rFonts w:ascii="Symbol" w:hAnsi="Symbol"/>
              </w:rPr>
            </w:pPr>
          </w:p>
        </w:tc>
        <w:tc>
          <w:tcPr>
            <w:tcW w:w="1479" w:type="dxa"/>
          </w:tcPr>
          <w:p w:rsidR="00000000" w:rsidRDefault="00C24C15">
            <w:pPr>
              <w:jc w:val="center"/>
              <w:rPr>
                <w:rFonts w:ascii="Symbol" w:hAnsi="Symbol"/>
              </w:rPr>
            </w:pPr>
          </w:p>
        </w:tc>
        <w:tc>
          <w:tcPr>
            <w:tcW w:w="1516" w:type="dxa"/>
          </w:tcPr>
          <w:p w:rsidR="00000000" w:rsidRDefault="00C24C15">
            <w:pPr>
              <w:jc w:val="center"/>
              <w:rPr>
                <w:rFonts w:ascii="Symbol" w:hAnsi="Symbol"/>
              </w:rPr>
            </w:pPr>
          </w:p>
        </w:tc>
        <w:tc>
          <w:tcPr>
            <w:tcW w:w="1412" w:type="dxa"/>
          </w:tcPr>
          <w:p w:rsidR="00000000" w:rsidRDefault="00C24C15">
            <w:pPr>
              <w:jc w:val="center"/>
              <w:rPr>
                <w:rFonts w:ascii="Symbol" w:hAnsi="Symbol"/>
              </w:rPr>
            </w:pPr>
          </w:p>
        </w:tc>
      </w:tr>
      <w:tr w:rsidR="00000000">
        <w:trPr>
          <w:trHeight w:val="487"/>
        </w:trPr>
        <w:tc>
          <w:tcPr>
            <w:tcW w:w="1272" w:type="dxa"/>
          </w:tcPr>
          <w:p w:rsidR="00000000" w:rsidRDefault="00C24C15">
            <w:r>
              <w:t>t</w:t>
            </w:r>
            <w:r>
              <w:rPr>
                <w:vertAlign w:val="subscript"/>
              </w:rPr>
              <w:t>0</w:t>
            </w:r>
            <w:r>
              <w:t xml:space="preserve"> + 6-hr</w:t>
            </w:r>
          </w:p>
          <w:p w:rsidR="00000000" w:rsidRDefault="00C24C15">
            <w:r>
              <w:t>[P1]</w:t>
            </w:r>
          </w:p>
        </w:tc>
        <w:tc>
          <w:tcPr>
            <w:tcW w:w="1522" w:type="dxa"/>
          </w:tcPr>
          <w:p w:rsidR="00000000" w:rsidRDefault="00C24C15"/>
        </w:tc>
        <w:tc>
          <w:tcPr>
            <w:tcW w:w="1536" w:type="dxa"/>
          </w:tcPr>
          <w:p w:rsidR="00000000" w:rsidRDefault="00C24C15"/>
        </w:tc>
        <w:tc>
          <w:tcPr>
            <w:tcW w:w="1536" w:type="dxa"/>
          </w:tcPr>
          <w:p w:rsidR="00000000" w:rsidRDefault="00C24C15"/>
        </w:tc>
        <w:tc>
          <w:tcPr>
            <w:tcW w:w="1536" w:type="dxa"/>
          </w:tcPr>
          <w:p w:rsidR="00000000" w:rsidRDefault="00C24C15">
            <w:pPr>
              <w:jc w:val="center"/>
            </w:pPr>
            <w:r>
              <w:rPr>
                <w:rFonts w:ascii="Symbol" w:hAnsi="Symbol"/>
              </w:rPr>
              <w:t></w:t>
            </w:r>
            <w:r>
              <w:rPr>
                <w:rFonts w:ascii="Symbol" w:hAnsi="Symbol"/>
              </w:rPr>
              <w:t></w:t>
            </w:r>
            <w:r>
              <w:rPr>
                <w:rFonts w:ascii="Symbol" w:hAnsi="Symbol"/>
              </w:rPr>
              <w:t></w:t>
            </w:r>
          </w:p>
        </w:tc>
        <w:tc>
          <w:tcPr>
            <w:tcW w:w="1536" w:type="dxa"/>
          </w:tcPr>
          <w:p w:rsidR="00000000" w:rsidRDefault="00C24C15">
            <w:pPr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</w:t>
            </w:r>
            <w:r>
              <w:rPr>
                <w:rFonts w:ascii="Symbol" w:hAnsi="Symbol"/>
              </w:rPr>
              <w:t></w:t>
            </w:r>
            <w:r>
              <w:rPr>
                <w:rFonts w:ascii="Symbol" w:hAnsi="Symbol"/>
              </w:rPr>
              <w:t></w:t>
            </w:r>
          </w:p>
        </w:tc>
        <w:tc>
          <w:tcPr>
            <w:tcW w:w="1536" w:type="dxa"/>
          </w:tcPr>
          <w:p w:rsidR="00000000" w:rsidRDefault="00C24C15">
            <w:pPr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</w:t>
            </w:r>
            <w:r>
              <w:rPr>
                <w:rFonts w:ascii="Symbol" w:hAnsi="Symbol"/>
              </w:rPr>
              <w:t></w:t>
            </w:r>
            <w:r>
              <w:rPr>
                <w:rFonts w:ascii="Symbol" w:hAnsi="Symbol"/>
              </w:rPr>
              <w:t></w:t>
            </w:r>
          </w:p>
        </w:tc>
        <w:tc>
          <w:tcPr>
            <w:tcW w:w="1479" w:type="dxa"/>
          </w:tcPr>
          <w:p w:rsidR="00000000" w:rsidRDefault="00C24C15">
            <w:pPr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</w:t>
            </w:r>
            <w:r>
              <w:rPr>
                <w:rFonts w:ascii="Symbol" w:hAnsi="Symbol"/>
              </w:rPr>
              <w:t></w:t>
            </w:r>
            <w:r>
              <w:rPr>
                <w:rFonts w:ascii="Symbol" w:hAnsi="Symbol"/>
              </w:rPr>
              <w:t></w:t>
            </w:r>
          </w:p>
        </w:tc>
        <w:tc>
          <w:tcPr>
            <w:tcW w:w="1516" w:type="dxa"/>
          </w:tcPr>
          <w:p w:rsidR="00000000" w:rsidRDefault="00C24C15">
            <w:pPr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</w:t>
            </w:r>
            <w:r>
              <w:rPr>
                <w:rFonts w:ascii="Symbol" w:hAnsi="Symbol"/>
              </w:rPr>
              <w:t></w:t>
            </w:r>
            <w:r>
              <w:rPr>
                <w:rFonts w:ascii="Symbol" w:hAnsi="Symbol"/>
              </w:rPr>
              <w:t></w:t>
            </w:r>
          </w:p>
        </w:tc>
        <w:tc>
          <w:tcPr>
            <w:tcW w:w="1412" w:type="dxa"/>
          </w:tcPr>
          <w:p w:rsidR="00000000" w:rsidRDefault="00C24C15">
            <w:pPr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</w:t>
            </w:r>
            <w:r>
              <w:rPr>
                <w:rFonts w:ascii="Symbol" w:hAnsi="Symbol"/>
              </w:rPr>
              <w:t></w:t>
            </w:r>
            <w:r>
              <w:rPr>
                <w:rFonts w:ascii="Symbol" w:hAnsi="Symbol"/>
              </w:rPr>
              <w:t></w:t>
            </w:r>
          </w:p>
        </w:tc>
      </w:tr>
    </w:tbl>
    <w:p w:rsidR="00000000" w:rsidRDefault="00C24C15">
      <w:pPr>
        <w:jc w:val="center"/>
        <w:rPr>
          <w:b/>
        </w:rPr>
      </w:pPr>
      <w:r>
        <w:rPr>
          <w:b/>
        </w:rPr>
        <w:t xml:space="preserve">ATMS 411 Synopsis Data Table                                                           </w:t>
      </w:r>
      <w:r>
        <w:rPr>
          <w:b/>
        </w:rPr>
        <w:t xml:space="preserve">   For Case Study Synopsis Due ________________________</w:t>
      </w:r>
    </w:p>
    <w:p w:rsidR="00000000" w:rsidRDefault="00C24C15">
      <w:pPr>
        <w:rPr>
          <w:b/>
        </w:rPr>
      </w:pPr>
    </w:p>
    <w:p w:rsidR="00000000" w:rsidRDefault="00C24C15">
      <w:pPr>
        <w:jc w:val="center"/>
        <w:rPr>
          <w:b/>
        </w:rPr>
      </w:pPr>
      <w:r>
        <w:rPr>
          <w:b/>
        </w:rPr>
        <w:t>Group Members ________________________________________________                Synopsis Group Number _______________</w:t>
      </w:r>
    </w:p>
    <w:p w:rsidR="00000000" w:rsidRDefault="00C24C15">
      <w:pPr>
        <w:rPr>
          <w:b/>
        </w:rPr>
      </w:pPr>
    </w:p>
    <w:p w:rsidR="00000000" w:rsidRDefault="00C24C15">
      <w:pPr>
        <w:rPr>
          <w:b/>
        </w:rPr>
      </w:pPr>
      <w:r>
        <w:rPr>
          <w:b/>
        </w:rPr>
        <w:t>*[ Use the same assumptions for these terms as was used in the final project in Sy</w:t>
      </w:r>
      <w:r>
        <w:rPr>
          <w:b/>
        </w:rPr>
        <w:t>noptic I (ATMS 410) ]</w:t>
      </w:r>
    </w:p>
    <w:p w:rsidR="00000000" w:rsidRDefault="00C24C15">
      <w:pPr>
        <w:rPr>
          <w:b/>
        </w:rPr>
      </w:pPr>
    </w:p>
    <w:p w:rsidR="00000000" w:rsidRDefault="00C24C15">
      <w:pPr>
        <w:rPr>
          <w:b/>
        </w:rPr>
      </w:pPr>
      <w:r>
        <w:rPr>
          <w:b/>
        </w:rPr>
        <w:t>GFS thinned forecast initialization time [</w:t>
      </w:r>
      <w:r>
        <w:rPr>
          <w:u w:val="single"/>
        </w:rPr>
        <w:t>HHHH</w:t>
      </w:r>
      <w:r>
        <w:rPr>
          <w:b/>
        </w:rPr>
        <w:t xml:space="preserve"> UTC </w:t>
      </w:r>
      <w:r>
        <w:rPr>
          <w:u w:val="single"/>
        </w:rPr>
        <w:t>DD MMM YYYY</w:t>
      </w:r>
      <w:r>
        <w:rPr>
          <w:b/>
        </w:rPr>
        <w:t>]:              _________ UTC _______________________</w:t>
      </w:r>
    </w:p>
    <w:p w:rsidR="00000000" w:rsidRDefault="00C24C15">
      <w:r>
        <w:rPr>
          <w:b/>
        </w:rPr>
        <w:tab/>
      </w:r>
      <w:r>
        <w:t>Where</w:t>
      </w:r>
    </w:p>
    <w:p w:rsidR="00000000" w:rsidRDefault="00C24C15">
      <w:r>
        <w:tab/>
      </w:r>
      <w:r>
        <w:tab/>
        <w:t>HHHH = Time of GFS initialization in UTC</w:t>
      </w:r>
    </w:p>
    <w:p w:rsidR="00000000" w:rsidRDefault="00C24C15">
      <w:r>
        <w:tab/>
      </w:r>
      <w:r>
        <w:tab/>
        <w:t>DD = Day of GFS initialization</w:t>
      </w:r>
    </w:p>
    <w:p w:rsidR="00000000" w:rsidRDefault="00C24C15">
      <w:r>
        <w:tab/>
      </w:r>
      <w:r>
        <w:tab/>
        <w:t>MMM = Month (e.g. JAN, FEB, etc.</w:t>
      </w:r>
      <w:r>
        <w:t>) of GFS initialization</w:t>
      </w:r>
    </w:p>
    <w:p w:rsidR="00000000" w:rsidRDefault="00C24C15">
      <w:r>
        <w:tab/>
      </w:r>
      <w:r>
        <w:tab/>
        <w:t>YYYY = Year (e.g. 2008) of GFS initialization</w:t>
      </w:r>
    </w:p>
    <w:p w:rsidR="00000000" w:rsidRDefault="00C24C15"/>
    <w:p w:rsidR="00000000" w:rsidRDefault="00C24C15">
      <w:pPr>
        <w:rPr>
          <w:b/>
        </w:rPr>
      </w:pPr>
      <w:r>
        <w:rPr>
          <w:b/>
        </w:rPr>
        <w:t>GFS forecast hour corresponding to “t</w:t>
      </w:r>
      <w:r>
        <w:rPr>
          <w:b/>
          <w:vertAlign w:val="subscript"/>
        </w:rPr>
        <w:t>0</w:t>
      </w:r>
      <w:r>
        <w:rPr>
          <w:b/>
        </w:rPr>
        <w:t>”: F___________ ,  GFS forecast hour corresponding to “t</w:t>
      </w:r>
      <w:r>
        <w:rPr>
          <w:b/>
          <w:vertAlign w:val="subscript"/>
        </w:rPr>
        <w:t>0</w:t>
      </w:r>
      <w:r>
        <w:rPr>
          <w:b/>
        </w:rPr>
        <w:t xml:space="preserve"> + 6-hr”: F___________</w:t>
      </w:r>
    </w:p>
    <w:p w:rsidR="00000000" w:rsidRDefault="00C24C15">
      <w:pPr>
        <w:rPr>
          <w:b/>
        </w:rPr>
      </w:pPr>
    </w:p>
    <w:p w:rsidR="00000000" w:rsidRDefault="00C24C15">
      <w:pPr>
        <w:rPr>
          <w:b/>
        </w:rPr>
      </w:pPr>
      <w:r>
        <w:rPr>
          <w:b/>
        </w:rPr>
        <w:t xml:space="preserve">Give a </w:t>
      </w:r>
      <w:r>
        <w:rPr>
          <w:b/>
          <w:u w:val="single"/>
        </w:rPr>
        <w:t>brief</w:t>
      </w:r>
      <w:r>
        <w:rPr>
          <w:b/>
        </w:rPr>
        <w:t xml:space="preserve"> synopsis describing [must be typed]:</w:t>
      </w:r>
    </w:p>
    <w:p w:rsidR="00000000" w:rsidRDefault="00C24C15">
      <w:pPr>
        <w:ind w:firstLine="720"/>
        <w:rPr>
          <w:b/>
        </w:rPr>
      </w:pPr>
      <w:r>
        <w:rPr>
          <w:b/>
        </w:rPr>
        <w:t>[a] the genera</w:t>
      </w:r>
      <w:r>
        <w:rPr>
          <w:b/>
        </w:rPr>
        <w:t>l synoptic-scale weather features of interest,</w:t>
      </w:r>
    </w:p>
    <w:p w:rsidR="00000000" w:rsidRDefault="00C24C15">
      <w:pPr>
        <w:ind w:firstLine="720"/>
        <w:rPr>
          <w:b/>
        </w:rPr>
      </w:pPr>
      <w:r>
        <w:rPr>
          <w:b/>
        </w:rPr>
        <w:t>[b] the physical mechanisms that are contributing to cyclogenesis,</w:t>
      </w:r>
    </w:p>
    <w:p w:rsidR="00000000" w:rsidRDefault="00C24C15">
      <w:pPr>
        <w:ind w:firstLine="720"/>
        <w:rPr>
          <w:b/>
        </w:rPr>
      </w:pPr>
      <w:r>
        <w:rPr>
          <w:b/>
        </w:rPr>
        <w:t>[c] the physical mechanisms that are opposing cyclogenesis,</w:t>
      </w:r>
    </w:p>
    <w:p w:rsidR="00000000" w:rsidRDefault="00C24C15">
      <w:pPr>
        <w:ind w:firstLine="720"/>
        <w:rPr>
          <w:b/>
        </w:rPr>
      </w:pPr>
      <w:r>
        <w:rPr>
          <w:b/>
        </w:rPr>
        <w:t>[d] whether the vertical motion at the 700 hPa level over the 1000 hPa cyclone cen</w:t>
      </w:r>
      <w:r>
        <w:rPr>
          <w:b/>
        </w:rPr>
        <w:t>ter is reflecting cyclogenesis, and</w:t>
      </w:r>
    </w:p>
    <w:p w:rsidR="00000000" w:rsidRDefault="00C24C15">
      <w:pPr>
        <w:ind w:firstLine="720"/>
        <w:rPr>
          <w:b/>
        </w:rPr>
      </w:pPr>
      <w:r>
        <w:rPr>
          <w:b/>
        </w:rPr>
        <w:t>[e] the upper-tropospheric (e.g. 300 hPa) contribution to cyclogenesis or cyclolysis</w:t>
      </w:r>
    </w:p>
    <w:p w:rsidR="00000000" w:rsidRDefault="00C24C15">
      <w:pPr>
        <w:ind w:firstLine="720"/>
        <w:rPr>
          <w:b/>
        </w:rPr>
      </w:pPr>
    </w:p>
    <w:p w:rsidR="00000000" w:rsidRDefault="00C24C15">
      <w:r>
        <w:t>The description should be written for readers having a grasp of meteorology comparable to senior-level Atmospheric Science majors.</w:t>
      </w:r>
    </w:p>
    <w:p w:rsidR="00000000" w:rsidRDefault="00C24C15">
      <w:pPr>
        <w:rPr>
          <w:b/>
        </w:rPr>
      </w:pPr>
      <w:r>
        <w:rPr>
          <w:b/>
        </w:rPr>
        <w:lastRenderedPageBreak/>
        <w:t>A s</w:t>
      </w:r>
      <w:r>
        <w:rPr>
          <w:b/>
        </w:rPr>
        <w:t xml:space="preserve">ynopsis of the </w:t>
      </w:r>
      <w:r>
        <w:rPr>
          <w:b/>
          <w:u w:val="single"/>
        </w:rPr>
        <w:t>brief</w:t>
      </w:r>
      <w:r>
        <w:rPr>
          <w:b/>
        </w:rPr>
        <w:t xml:space="preserve"> synopsis</w:t>
      </w:r>
    </w:p>
    <w:p w:rsidR="00000000" w:rsidRDefault="00C24C15">
      <w:pPr>
        <w:rPr>
          <w:b/>
        </w:rPr>
      </w:pPr>
    </w:p>
    <w:p w:rsidR="00000000" w:rsidRDefault="00C24C15">
      <w:pPr>
        <w:rPr>
          <w:b/>
        </w:rPr>
      </w:pPr>
      <w:r>
        <w:rPr>
          <w:b/>
        </w:rPr>
        <w:tab/>
        <w:t>[a] the general synoptic-scale weather features of interest,</w:t>
      </w:r>
    </w:p>
    <w:p w:rsidR="00000000" w:rsidRDefault="00C24C15">
      <w:r>
        <w:t xml:space="preserve">print {with a light-colored map background to save toner} the following maps: [1] 1000 hPa geopotential height and 1000-500 hPa thickness (contour interval 60 m), </w:t>
      </w:r>
      <w:r>
        <w:t xml:space="preserve">[2] 850 hPa geopotential height and </w:t>
      </w:r>
      <w:r>
        <w:rPr>
          <w:rFonts w:ascii="Symbol" w:hAnsi="Symbol"/>
        </w:rPr>
        <w:t></w:t>
      </w:r>
      <w:r>
        <w:t xml:space="preserve">e (contour interval 2 K), [3] 700 hPa geopotential height and omega, [4] 500 hPa geopotential height and </w:t>
      </w:r>
      <w:r>
        <w:rPr>
          <w:b/>
          <w:i/>
        </w:rPr>
        <w:t>geostrophic</w:t>
      </w:r>
      <w:r>
        <w:t xml:space="preserve"> absolute vorticity, and [5] 300 hPa geopotential height and isotachs (knots) at the early forecast tim</w:t>
      </w:r>
      <w:r>
        <w:t>e [</w:t>
      </w:r>
      <w:r>
        <w:rPr>
          <w:b/>
        </w:rPr>
        <w:t>t</w:t>
      </w:r>
      <w:r>
        <w:rPr>
          <w:b/>
          <w:vertAlign w:val="subscript"/>
        </w:rPr>
        <w:t>0</w:t>
      </w:r>
      <w:r>
        <w:t>], plot on each of the five maps the later forecast [</w:t>
      </w:r>
      <w:r>
        <w:rPr>
          <w:b/>
        </w:rPr>
        <w:t>t</w:t>
      </w:r>
      <w:r>
        <w:rPr>
          <w:b/>
          <w:vertAlign w:val="subscript"/>
        </w:rPr>
        <w:t>0</w:t>
      </w:r>
      <w:r>
        <w:rPr>
          <w:b/>
        </w:rPr>
        <w:t xml:space="preserve"> + 6-hr</w:t>
      </w:r>
      <w:r>
        <w:t xml:space="preserve">] position of the 1000 hPa cyclone center, and briefly describe the features relevant to cyclogenesis at each of the five levels {description should be </w:t>
      </w:r>
      <w:r>
        <w:rPr>
          <w:b/>
        </w:rPr>
        <w:t>one</w:t>
      </w:r>
      <w:r>
        <w:t xml:space="preserve"> type-written page, at most}</w:t>
      </w:r>
    </w:p>
    <w:p w:rsidR="00000000" w:rsidRDefault="00C24C15">
      <w:pPr>
        <w:rPr>
          <w:b/>
        </w:rPr>
      </w:pPr>
    </w:p>
    <w:p w:rsidR="00000000" w:rsidRDefault="00C24C15">
      <w:pPr>
        <w:ind w:firstLine="720"/>
        <w:rPr>
          <w:b/>
        </w:rPr>
      </w:pPr>
      <w:r>
        <w:rPr>
          <w:b/>
        </w:rPr>
        <w:t xml:space="preserve">[b] </w:t>
      </w:r>
      <w:r>
        <w:rPr>
          <w:b/>
        </w:rPr>
        <w:t>the physical mechanisms that are contributing to cyclogenesis,</w:t>
      </w:r>
    </w:p>
    <w:p w:rsidR="00000000" w:rsidRDefault="00C24C15">
      <w:r>
        <w:t xml:space="preserve">note which of the terms (GAVA, LTHAD, LAD, LDIA) are contributing to a 1000 hPa level geostrophic relative vorticity (GRV) </w:t>
      </w:r>
      <w:r>
        <w:rPr>
          <w:b/>
          <w:i/>
        </w:rPr>
        <w:t>increase</w:t>
      </w:r>
      <w:r>
        <w:t xml:space="preserve"> over the later forecast [</w:t>
      </w:r>
      <w:r>
        <w:rPr>
          <w:b/>
        </w:rPr>
        <w:t>t</w:t>
      </w:r>
      <w:r>
        <w:rPr>
          <w:b/>
          <w:vertAlign w:val="subscript"/>
        </w:rPr>
        <w:t>0</w:t>
      </w:r>
      <w:r>
        <w:rPr>
          <w:b/>
        </w:rPr>
        <w:t xml:space="preserve"> + 6-hr</w:t>
      </w:r>
      <w:r>
        <w:t xml:space="preserve">] position of the 1000 hPa </w:t>
      </w:r>
      <w:r>
        <w:t>cyclone center at the early forecast time [</w:t>
      </w:r>
      <w:r>
        <w:rPr>
          <w:b/>
        </w:rPr>
        <w:t>t</w:t>
      </w:r>
      <w:r>
        <w:rPr>
          <w:b/>
          <w:vertAlign w:val="subscript"/>
        </w:rPr>
        <w:t>0</w:t>
      </w:r>
      <w:r>
        <w:t>]</w:t>
      </w:r>
    </w:p>
    <w:p w:rsidR="00000000" w:rsidRDefault="00C24C15"/>
    <w:p w:rsidR="00000000" w:rsidRDefault="00C24C15">
      <w:pPr>
        <w:ind w:firstLine="720"/>
        <w:rPr>
          <w:b/>
        </w:rPr>
      </w:pPr>
      <w:r>
        <w:rPr>
          <w:b/>
        </w:rPr>
        <w:t>[c] the physical mechanisms that are opposing cyclogenesis,</w:t>
      </w:r>
    </w:p>
    <w:p w:rsidR="00000000" w:rsidRDefault="00C24C15">
      <w:r>
        <w:t xml:space="preserve">note which of the terms (GAVA, LTHAD, LAD, LDIA) are contributing to a 1000 hPa level geostrophic relative vorticity (GRV) </w:t>
      </w:r>
      <w:r>
        <w:rPr>
          <w:b/>
          <w:i/>
        </w:rPr>
        <w:t>decrease</w:t>
      </w:r>
      <w:r>
        <w:t xml:space="preserve"> over the later f</w:t>
      </w:r>
      <w:r>
        <w:t>orecast [</w:t>
      </w:r>
      <w:r>
        <w:rPr>
          <w:b/>
        </w:rPr>
        <w:t>t</w:t>
      </w:r>
      <w:r>
        <w:rPr>
          <w:b/>
          <w:vertAlign w:val="subscript"/>
        </w:rPr>
        <w:t>0</w:t>
      </w:r>
      <w:r>
        <w:rPr>
          <w:b/>
        </w:rPr>
        <w:t xml:space="preserve"> + 6-hr</w:t>
      </w:r>
      <w:r>
        <w:t>] position of the 1000 hPa cyclone center at the early forecast time [</w:t>
      </w:r>
      <w:r>
        <w:rPr>
          <w:b/>
        </w:rPr>
        <w:t>t</w:t>
      </w:r>
      <w:r>
        <w:rPr>
          <w:b/>
          <w:vertAlign w:val="subscript"/>
        </w:rPr>
        <w:t>0</w:t>
      </w:r>
      <w:r>
        <w:t>]</w:t>
      </w:r>
    </w:p>
    <w:p w:rsidR="00000000" w:rsidRDefault="00C24C15">
      <w:pPr>
        <w:rPr>
          <w:b/>
        </w:rPr>
      </w:pPr>
    </w:p>
    <w:p w:rsidR="00000000" w:rsidRDefault="00C24C15">
      <w:pPr>
        <w:ind w:firstLine="720"/>
        <w:rPr>
          <w:b/>
        </w:rPr>
      </w:pPr>
      <w:r>
        <w:rPr>
          <w:b/>
        </w:rPr>
        <w:t>[d] whether the vertical motion at the 700 hPa level over the 1000 hPa cyclone center is reflecting cyclogenesis, and</w:t>
      </w:r>
    </w:p>
    <w:p w:rsidR="00000000" w:rsidRDefault="00C24C15">
      <w:r>
        <w:t>note the trend in the 700 hPa vertical motion</w:t>
      </w:r>
      <w:r>
        <w:t xml:space="preserve"> (omeg) over the 1000 hPa cyclone center from the early forecast time to the later forecast time [</w:t>
      </w:r>
      <w:r>
        <w:rPr>
          <w:b/>
        </w:rPr>
        <w:t>t</w:t>
      </w:r>
      <w:r>
        <w:rPr>
          <w:b/>
          <w:vertAlign w:val="subscript"/>
        </w:rPr>
        <w:t>0</w:t>
      </w:r>
      <w:r>
        <w:rPr>
          <w:b/>
        </w:rPr>
        <w:t xml:space="preserve"> + 6-hr</w:t>
      </w:r>
      <w:r>
        <w:t>] and describe whether this trend is consistent with vortex stretching or with vortex “squashing”, one of which is consistent with cyclogenesis</w:t>
      </w:r>
    </w:p>
    <w:p w:rsidR="00000000" w:rsidRDefault="00C24C15">
      <w:pPr>
        <w:ind w:firstLine="720"/>
        <w:rPr>
          <w:b/>
        </w:rPr>
      </w:pPr>
    </w:p>
    <w:p w:rsidR="00000000" w:rsidRDefault="00C24C15">
      <w:pPr>
        <w:ind w:firstLine="720"/>
        <w:rPr>
          <w:b/>
        </w:rPr>
      </w:pPr>
      <w:r>
        <w:rPr>
          <w:b/>
        </w:rPr>
        <w:t xml:space="preserve">[e] </w:t>
      </w:r>
      <w:r>
        <w:rPr>
          <w:b/>
        </w:rPr>
        <w:t>the upper-tropospheric (e.g. 300 hPa) contribution to cyclogenesis or cyclolysis.</w:t>
      </w:r>
    </w:p>
    <w:p w:rsidR="00000000" w:rsidRDefault="00C24C15">
      <w:r>
        <w:t>Throughout the semester we’ll be learning more about how the jet stream or jet streaks can influence surface cyclogenesis. You’ll need to examine and document the upper-level</w:t>
      </w:r>
      <w:r>
        <w:t xml:space="preserve"> divergence, the upper-level geostrophic absolute vorticity advection, and the upper-level thermal advection patterns at the 300 hPa level and then describe how each of these fields would be contributing either to cyclogenesis or cyclolysis over the later </w:t>
      </w:r>
      <w:r>
        <w:t>forecast [</w:t>
      </w:r>
      <w:r>
        <w:rPr>
          <w:b/>
        </w:rPr>
        <w:t>t</w:t>
      </w:r>
      <w:r>
        <w:rPr>
          <w:b/>
          <w:vertAlign w:val="subscript"/>
        </w:rPr>
        <w:t>0</w:t>
      </w:r>
      <w:r>
        <w:rPr>
          <w:b/>
        </w:rPr>
        <w:t xml:space="preserve"> + 6-hr</w:t>
      </w:r>
      <w:r>
        <w:t>] position of the 1000 hPa cyclone center at the early forecast time [</w:t>
      </w:r>
      <w:r>
        <w:rPr>
          <w:b/>
        </w:rPr>
        <w:t>t</w:t>
      </w:r>
      <w:r>
        <w:rPr>
          <w:b/>
          <w:vertAlign w:val="subscript"/>
        </w:rPr>
        <w:t>0</w:t>
      </w:r>
      <w:r>
        <w:t>].</w:t>
      </w:r>
    </w:p>
    <w:p w:rsidR="00C24C15" w:rsidRDefault="00C24C15">
      <w:pPr>
        <w:rPr>
          <w:b/>
        </w:rPr>
      </w:pPr>
    </w:p>
    <w:sectPr w:rsidR="00C24C15">
      <w:pgSz w:w="15840" w:h="12240" w:orient="landscape" w:code="1"/>
      <w:pgMar w:top="1800" w:right="1440" w:bottom="1800" w:left="1440" w:header="0" w:footer="144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49027C"/>
    <w:rsid w:val="0049027C"/>
    <w:rsid w:val="00C2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UNC Asheville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Doug Miller</dc:creator>
  <cp:keywords/>
  <cp:lastModifiedBy>Douglas K. Miller</cp:lastModifiedBy>
  <cp:revision>2</cp:revision>
  <dcterms:created xsi:type="dcterms:W3CDTF">2014-01-09T13:40:00Z</dcterms:created>
  <dcterms:modified xsi:type="dcterms:W3CDTF">2014-01-09T13:40:00Z</dcterms:modified>
</cp:coreProperties>
</file>